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Quarterly Results</w:t>
      </w:r>
    </w:p>
    <w:p>
      <w:pPr>
        <w:spacing w:after="200"/>
      </w:pPr>
      <w:r>
        <w:t xml:space="preserve">Participants reached and budget spent by quarter, January – December 2024.</w:t>
      </w:r>
    </w:p>
    <w:p>
      <w:pPr>
        <w:pStyle w:val="Heading2"/>
      </w:pPr>
      <w:r>
        <w:t xml:space="preserve">Table 1. Programme delivery by quarter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rPr>
          <w:tblHeader/>
        </w:trPr>
        <w:tc>
          <w:tcPr>
            <w:tcW w:type="dxa" w:w="2340"/>
            <w:tcBorders>
              <w:top w:val="single" w:color="1F3A5F" w:sz="4"/>
              <w:left w:val="single" w:color="1F3A5F" w:sz="4"/>
              <w:bottom w:val="single" w:color="1F3A5F" w:sz="4"/>
              <w:right w:val="single" w:color="1F3A5F" w:sz="4"/>
            </w:tcBorders>
            <w:shd w:fill="1F3A5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Quarter</w:t>
            </w:r>
          </w:p>
        </w:tc>
        <w:tc>
          <w:tcPr>
            <w:tcW w:type="dxa" w:w="2340"/>
            <w:tcBorders>
              <w:top w:val="single" w:color="1F3A5F" w:sz="4"/>
              <w:left w:val="single" w:color="1F3A5F" w:sz="4"/>
              <w:bottom w:val="single" w:color="1F3A5F" w:sz="4"/>
              <w:right w:val="single" w:color="1F3A5F" w:sz="4"/>
            </w:tcBorders>
            <w:shd w:fill="1F3A5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Participants</w:t>
            </w:r>
          </w:p>
        </w:tc>
        <w:tc>
          <w:tcPr>
            <w:tcW w:type="dxa" w:w="2340"/>
            <w:tcBorders>
              <w:top w:val="single" w:color="1F3A5F" w:sz="4"/>
              <w:left w:val="single" w:color="1F3A5F" w:sz="4"/>
              <w:bottom w:val="single" w:color="1F3A5F" w:sz="4"/>
              <w:right w:val="single" w:color="1F3A5F" w:sz="4"/>
            </w:tcBorders>
            <w:shd w:fill="1F3A5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Budget (JMD)</w:t>
            </w:r>
          </w:p>
        </w:tc>
        <w:tc>
          <w:tcPr>
            <w:tcW w:type="dxa" w:w="2340"/>
            <w:tcBorders>
              <w:top w:val="single" w:color="1F3A5F" w:sz="4"/>
              <w:left w:val="single" w:color="1F3A5F" w:sz="4"/>
              <w:bottom w:val="single" w:color="1F3A5F" w:sz="4"/>
              <w:right w:val="single" w:color="1F3A5F" w:sz="4"/>
            </w:tcBorders>
            <w:shd w:fill="1F3A5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Status</w:t>
            </w:r>
          </w:p>
        </w:tc>
      </w:tr>
      <w:tr>
        <w:tc>
          <w:tcPr>
            <w:tcW w:type="dxa" w:w="234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sz w:val="22"/>
                <w:szCs w:val="22"/>
              </w:rPr>
              <w:t xml:space="preserve">Q1</w:t>
            </w:r>
          </w:p>
        </w:tc>
        <w:tc>
          <w:tcPr>
            <w:tcW w:type="dxa" w:w="234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sz w:val="22"/>
                <w:szCs w:val="22"/>
              </w:rPr>
              <w:t xml:space="preserve">210</w:t>
            </w:r>
          </w:p>
        </w:tc>
        <w:tc>
          <w:tcPr>
            <w:tcW w:type="dxa" w:w="234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sz w:val="22"/>
                <w:szCs w:val="22"/>
              </w:rPr>
              <w:t xml:space="preserve">1,200,000</w:t>
            </w:r>
          </w:p>
        </w:tc>
        <w:tc>
          <w:tcPr>
            <w:tcW w:type="dxa" w:w="234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sz w:val="22"/>
                <w:szCs w:val="22"/>
              </w:rPr>
              <w:t xml:space="preserve">Complete</w:t>
            </w:r>
          </w:p>
        </w:tc>
      </w:tr>
      <w:tr>
        <w:tc>
          <w:tcPr>
            <w:tcW w:type="dxa" w:w="234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AF3F1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sz w:val="22"/>
                <w:szCs w:val="22"/>
              </w:rPr>
              <w:t xml:space="preserve">Q2</w:t>
            </w:r>
          </w:p>
        </w:tc>
        <w:tc>
          <w:tcPr>
            <w:tcW w:type="dxa" w:w="234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AF3F1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sz w:val="22"/>
                <w:szCs w:val="22"/>
              </w:rPr>
              <w:t xml:space="preserve">345</w:t>
            </w:r>
          </w:p>
        </w:tc>
        <w:tc>
          <w:tcPr>
            <w:tcW w:type="dxa" w:w="234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AF3F1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sz w:val="22"/>
                <w:szCs w:val="22"/>
              </w:rPr>
              <w:t xml:space="preserve">1,800,000</w:t>
            </w:r>
          </w:p>
        </w:tc>
        <w:tc>
          <w:tcPr>
            <w:tcW w:type="dxa" w:w="234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AF3F1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sz w:val="22"/>
                <w:szCs w:val="22"/>
              </w:rPr>
              <w:t xml:space="preserve">Complete</w:t>
            </w:r>
          </w:p>
        </w:tc>
      </w:tr>
      <w:tr>
        <w:tc>
          <w:tcPr>
            <w:tcW w:type="dxa" w:w="234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sz w:val="22"/>
                <w:szCs w:val="22"/>
              </w:rPr>
              <w:t xml:space="preserve">Q3</w:t>
            </w:r>
          </w:p>
        </w:tc>
        <w:tc>
          <w:tcPr>
            <w:tcW w:type="dxa" w:w="234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sz w:val="22"/>
                <w:szCs w:val="22"/>
              </w:rPr>
              <w:t xml:space="preserve">298</w:t>
            </w:r>
          </w:p>
        </w:tc>
        <w:tc>
          <w:tcPr>
            <w:tcW w:type="dxa" w:w="234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sz w:val="22"/>
                <w:szCs w:val="22"/>
              </w:rPr>
              <w:t xml:space="preserve">1,650,000</w:t>
            </w:r>
          </w:p>
        </w:tc>
        <w:tc>
          <w:tcPr>
            <w:tcW w:type="dxa" w:w="234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sz w:val="22"/>
                <w:szCs w:val="22"/>
              </w:rPr>
              <w:t xml:space="preserve">Complete</w:t>
            </w:r>
          </w:p>
        </w:tc>
      </w:tr>
      <w:tr>
        <w:tc>
          <w:tcPr>
            <w:tcW w:type="dxa" w:w="234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AF3F1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sz w:val="22"/>
                <w:szCs w:val="22"/>
              </w:rPr>
              <w:t xml:space="preserve">Q4</w:t>
            </w:r>
          </w:p>
        </w:tc>
        <w:tc>
          <w:tcPr>
            <w:tcW w:type="dxa" w:w="234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AF3F1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sz w:val="22"/>
                <w:szCs w:val="22"/>
              </w:rPr>
              <w:t xml:space="preserve">402</w:t>
            </w:r>
          </w:p>
        </w:tc>
        <w:tc>
          <w:tcPr>
            <w:tcW w:type="dxa" w:w="234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AF3F1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sz w:val="22"/>
                <w:szCs w:val="22"/>
              </w:rPr>
              <w:t xml:space="preserve">2,100,000</w:t>
            </w:r>
          </w:p>
        </w:tc>
        <w:tc>
          <w:tcPr>
            <w:tcW w:type="dxa" w:w="234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AF3F1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sz w:val="22"/>
                <w:szCs w:val="22"/>
              </w:rPr>
              <w:t xml:space="preserve">Complete</w:t>
            </w:r>
          </w:p>
        </w:tc>
      </w:tr>
    </w:tbl>
    <w:p>
      <w:pPr>
        <w:spacing w:before="120"/>
      </w:pPr>
      <w:r>
        <w:rPr>
          <w:i/>
          <w:iCs/>
          <w:color w:val="666666"/>
          <w:sz w:val="18"/>
          <w:szCs w:val="18"/>
        </w:rPr>
        <w:t xml:space="preserve">Source: Programme M&amp;E records, 2024.</w:t>
      </w:r>
    </w:p>
    <w:p>
      <w:pPr>
        <w:pStyle w:val="Heading2"/>
      </w:pPr>
      <w:r>
        <w:t xml:space="preserve">Figure 1. Participants reached per quarter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1F3A5F"/>
                <w:sz w:val="22"/>
                <w:szCs w:val="22"/>
              </w:rPr>
              <w:t xml:space="preserve">Q1</w:t>
            </w:r>
          </w:p>
        </w:tc>
        <w:tc>
          <w:tcPr>
            <w:tcW w:type="dxa" w:w="376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A9D8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210</w:t>
            </w:r>
          </w:p>
        </w:tc>
        <w:tc>
          <w:tcPr>
            <w:tcW w:type="dxa" w:w="343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1F3A5F"/>
                <w:sz w:val="22"/>
                <w:szCs w:val="22"/>
              </w:rPr>
              <w:t xml:space="preserve">Q2</w:t>
            </w:r>
          </w:p>
        </w:tc>
        <w:tc>
          <w:tcPr>
            <w:tcW w:type="dxa" w:w="617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A9D8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345</w:t>
            </w:r>
          </w:p>
        </w:tc>
        <w:tc>
          <w:tcPr>
            <w:tcW w:type="dxa" w:w="102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1F3A5F"/>
                <w:sz w:val="22"/>
                <w:szCs w:val="22"/>
              </w:rPr>
              <w:t xml:space="preserve">Q3</w:t>
            </w:r>
          </w:p>
        </w:tc>
        <w:tc>
          <w:tcPr>
            <w:tcW w:type="dxa" w:w="533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A9D8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298</w:t>
            </w:r>
          </w:p>
        </w:tc>
        <w:tc>
          <w:tcPr>
            <w:tcW w:type="dxa" w:w="186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1F3A5F"/>
                <w:sz w:val="22"/>
                <w:szCs w:val="22"/>
              </w:rPr>
              <w:t xml:space="preserve">Q4</w:t>
            </w:r>
          </w:p>
        </w:tc>
        <w:tc>
          <w:tcPr>
            <w:tcW w:type="dxa" w:w="7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A5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402</w:t>
            </w:r>
          </w:p>
        </w:tc>
      </w:tr>
    </w:tbl>
    <w:p>
      <w:pPr>
        <w:spacing w:before="120"/>
      </w:pPr>
      <w:r>
        <w:rPr>
          <w:i/>
          <w:iCs/>
          <w:color w:val="666666"/>
          <w:sz w:val="18"/>
          <w:szCs w:val="18"/>
        </w:rPr>
        <w:t xml:space="preserve">Q4 represented the highest reach, driven by year-end outreach activities.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240"/>
      <w:outlineLvl w:val="0"/>
    </w:pPr>
    <w:rPr>
      <w:b/>
      <w:bCs/>
      <w:color w:val="1F3A5F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00"/>
      <w:outlineLvl w:val="1"/>
    </w:pPr>
    <w:rPr>
      <w:b/>
      <w:bCs/>
      <w:color w:val="2A9D8F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2026-05-11T03:04:34.305Z</dcterms:created>
  <dcterms:modified xsi:type="dcterms:W3CDTF">2026-05-11T03:04:34.305Z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